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center" w:pos="4680"/>
          <w:tab w:val="right" w:pos="9340"/>
        </w:tabs>
        <w:spacing w:line="240" w:lineRule="auto"/>
        <w:jc w:val="center"/>
        <w:rPr>
          <w:rFonts w:ascii="Calibri" w:hAnsi="Calibri"/>
          <w:b w:val="1"/>
          <w:bCs w:val="1"/>
          <w:sz w:val="24"/>
          <w:szCs w:val="24"/>
          <w:u w:val="single"/>
        </w:rPr>
      </w:pPr>
    </w:p>
    <w:p>
      <w:pPr>
        <w:pStyle w:val="Body"/>
        <w:spacing w:line="240" w:lineRule="auto"/>
        <w:rPr>
          <w:rFonts w:ascii="Calibri" w:hAnsi="Calibri"/>
          <w:sz w:val="24"/>
          <w:szCs w:val="24"/>
        </w:rPr>
      </w:pPr>
    </w:p>
    <w:p>
      <w:pPr>
        <w:pStyle w:val="Body"/>
        <w:spacing w:line="240" w:lineRule="auto"/>
        <w:jc w:val="center"/>
        <w:rPr>
          <w:rFonts w:ascii="Calibri" w:cs="Calibri" w:hAnsi="Calibri" w:eastAsia="Calibri"/>
          <w:sz w:val="24"/>
          <w:szCs w:val="24"/>
        </w:rPr>
      </w:pPr>
      <w:r>
        <w:rPr>
          <w:rFonts w:ascii="Calibri" w:hAnsi="Calibri"/>
          <w:sz w:val="24"/>
          <w:szCs w:val="24"/>
          <w:rtl w:val="0"/>
          <w:lang w:val="en-US"/>
        </w:rPr>
        <w:t xml:space="preserve">In order to comply with Federal Medicare Conditions for Coverage, the ownership structure has to be disclosed. </w:t>
      </w:r>
    </w:p>
    <w:p>
      <w:pPr>
        <w:pStyle w:val="Body"/>
        <w:spacing w:line="240" w:lineRule="auto"/>
        <w:jc w:val="center"/>
        <w:rPr>
          <w:rFonts w:ascii="Calibri" w:cs="Calibri" w:hAnsi="Calibri" w:eastAsia="Calibri"/>
          <w:sz w:val="24"/>
          <w:szCs w:val="24"/>
        </w:rPr>
      </w:pPr>
    </w:p>
    <w:p>
      <w:pPr>
        <w:pStyle w:val="Body"/>
        <w:spacing w:line="240" w:lineRule="auto"/>
        <w:jc w:val="center"/>
        <w:rPr>
          <w:rFonts w:ascii="Calibri" w:cs="Calibri" w:hAnsi="Calibri" w:eastAsia="Calibri"/>
          <w:sz w:val="24"/>
          <w:szCs w:val="24"/>
        </w:rPr>
      </w:pPr>
      <w:r>
        <w:rPr>
          <w:rFonts w:ascii="Calibri" w:hAnsi="Calibri"/>
          <w:sz w:val="24"/>
          <w:szCs w:val="24"/>
          <w:rtl w:val="0"/>
          <w:lang w:val="en-US"/>
        </w:rPr>
        <w:t xml:space="preserve">The following individuals have ownership interest in KY Advanced Surgical Center </w:t>
      </w:r>
    </w:p>
    <w:p>
      <w:pPr>
        <w:pStyle w:val="Body"/>
        <w:spacing w:line="240" w:lineRule="auto"/>
        <w:rPr>
          <w:rFonts w:ascii="Calibri" w:cs="Calibri" w:hAnsi="Calibri" w:eastAsia="Calibri"/>
          <w:sz w:val="24"/>
          <w:szCs w:val="24"/>
        </w:rPr>
      </w:pPr>
    </w:p>
    <w:p>
      <w:pPr>
        <w:pStyle w:val="Body"/>
        <w:spacing w:before="240" w:after="240" w:line="480" w:lineRule="auto"/>
        <w:jc w:val="center"/>
        <w:rPr>
          <w:rFonts w:ascii="Calibri" w:cs="Calibri" w:hAnsi="Calibri" w:eastAsia="Calibri"/>
          <w:b w:val="1"/>
          <w:bCs w:val="1"/>
          <w:sz w:val="24"/>
          <w:szCs w:val="24"/>
        </w:rPr>
      </w:pPr>
      <w:r>
        <w:rPr>
          <w:rFonts w:ascii="Calibri" w:hAnsi="Calibri"/>
          <w:b w:val="1"/>
          <w:bCs w:val="1"/>
          <w:sz w:val="24"/>
          <w:szCs w:val="24"/>
          <w:rtl w:val="0"/>
        </w:rPr>
        <w:t>Dr. Paul Kuy-Seang Ky</w:t>
      </w:r>
    </w:p>
    <w:p>
      <w:pPr>
        <w:pStyle w:val="Body"/>
        <w:spacing w:before="240" w:after="240" w:line="480" w:lineRule="auto"/>
        <w:jc w:val="center"/>
        <w:rPr>
          <w:rFonts w:ascii="Calibri" w:cs="Calibri" w:hAnsi="Calibri" w:eastAsia="Calibri"/>
          <w:b w:val="1"/>
          <w:bCs w:val="1"/>
          <w:sz w:val="24"/>
          <w:szCs w:val="24"/>
        </w:rPr>
      </w:pPr>
      <w:r>
        <w:rPr>
          <w:rFonts w:ascii="Calibri" w:hAnsi="Calibri"/>
          <w:b w:val="1"/>
          <w:bCs w:val="1"/>
          <w:sz w:val="24"/>
          <w:szCs w:val="24"/>
          <w:rtl w:val="0"/>
        </w:rPr>
        <w:t>(100%)</w:t>
      </w:r>
    </w:p>
    <w:p>
      <w:pPr>
        <w:pStyle w:val="Body"/>
        <w:spacing w:line="480" w:lineRule="auto"/>
        <w:jc w:val="center"/>
        <w:rPr>
          <w:rFonts w:ascii="Calibri" w:cs="Calibri" w:hAnsi="Calibri" w:eastAsia="Calibri"/>
          <w:b w:val="1"/>
          <w:bCs w:val="1"/>
          <w:sz w:val="24"/>
          <w:szCs w:val="24"/>
          <w:shd w:val="clear" w:color="auto" w:fill="ffffff"/>
        </w:rPr>
      </w:pPr>
      <w:r>
        <w:rPr>
          <w:rFonts w:ascii="Calibri" w:hAnsi="Calibri"/>
          <w:b w:val="1"/>
          <w:bCs w:val="1"/>
          <w:sz w:val="24"/>
          <w:szCs w:val="24"/>
          <w:rtl w:val="0"/>
          <w:lang w:val="en-US"/>
        </w:rPr>
        <w:t xml:space="preserve">License No: </w:t>
      </w:r>
      <w:r>
        <w:rPr>
          <w:rFonts w:ascii="Calibri" w:hAnsi="Calibri"/>
          <w:b w:val="1"/>
          <w:bCs w:val="1"/>
          <w:sz w:val="24"/>
          <w:szCs w:val="24"/>
          <w:shd w:val="clear" w:color="auto" w:fill="ffffff"/>
          <w:rtl w:val="0"/>
        </w:rPr>
        <w:t xml:space="preserve">10743 </w:t>
      </w:r>
    </w:p>
    <w:p>
      <w:pPr>
        <w:pStyle w:val="Body"/>
        <w:spacing w:line="480" w:lineRule="auto"/>
        <w:jc w:val="center"/>
        <w:rPr>
          <w:rFonts w:ascii="Calibri" w:cs="Calibri" w:hAnsi="Calibri" w:eastAsia="Calibri"/>
          <w:b w:val="1"/>
          <w:bCs w:val="1"/>
          <w:sz w:val="24"/>
          <w:szCs w:val="24"/>
          <w:shd w:val="clear" w:color="auto" w:fill="ffffff"/>
        </w:rPr>
      </w:pPr>
      <w:r>
        <w:rPr>
          <w:rFonts w:ascii="Calibri" w:hAnsi="Calibri"/>
          <w:b w:val="1"/>
          <w:bCs w:val="1"/>
          <w:sz w:val="24"/>
          <w:szCs w:val="24"/>
          <w:shd w:val="clear" w:color="auto" w:fill="ffffff"/>
          <w:rtl w:val="0"/>
          <w:lang w:val="en-US"/>
        </w:rPr>
        <w:t>Issued by Osteopathic Medical Board of California</w:t>
      </w:r>
    </w:p>
    <w:p>
      <w:pPr>
        <w:pStyle w:val="Body"/>
        <w:spacing w:line="480" w:lineRule="auto"/>
        <w:jc w:val="center"/>
        <w:rPr>
          <w:rFonts w:ascii="Calibri" w:cs="Calibri" w:hAnsi="Calibri" w:eastAsia="Calibri"/>
          <w:b w:val="1"/>
          <w:bCs w:val="1"/>
          <w:sz w:val="24"/>
          <w:szCs w:val="24"/>
        </w:rPr>
      </w:pPr>
      <w:r>
        <w:rPr>
          <w:rFonts w:ascii="Calibri" w:hAnsi="Calibri"/>
          <w:b w:val="1"/>
          <w:bCs w:val="1"/>
          <w:sz w:val="24"/>
          <w:szCs w:val="24"/>
          <w:rtl w:val="0"/>
          <w:lang w:val="en-US"/>
        </w:rPr>
        <w:t xml:space="preserve">Ownership Start Date: </w:t>
      </w:r>
    </w:p>
    <w:p>
      <w:pPr>
        <w:pStyle w:val="Body"/>
        <w:spacing w:line="480" w:lineRule="auto"/>
        <w:jc w:val="center"/>
        <w:rPr>
          <w:rFonts w:ascii="Calibri" w:cs="Calibri" w:hAnsi="Calibri" w:eastAsia="Calibri"/>
          <w:sz w:val="24"/>
          <w:szCs w:val="24"/>
        </w:rPr>
      </w:pPr>
      <w:r>
        <w:rPr>
          <w:rFonts w:ascii="Calibri" w:hAnsi="Calibri"/>
          <w:b w:val="1"/>
          <w:bCs w:val="1"/>
          <w:sz w:val="24"/>
          <w:szCs w:val="24"/>
          <w:shd w:val="clear" w:color="auto" w:fill="ffffff"/>
          <w:rtl w:val="0"/>
        </w:rPr>
        <w:t>9/3/2013</w:t>
      </w:r>
    </w:p>
    <w:p>
      <w:pPr>
        <w:pStyle w:val="Body"/>
        <w:spacing w:line="240" w:lineRule="auto"/>
        <w:jc w:val="both"/>
        <w:rPr>
          <w:rFonts w:ascii="Calibri" w:cs="Calibri" w:hAnsi="Calibri" w:eastAsia="Calibri"/>
          <w:sz w:val="24"/>
          <w:szCs w:val="24"/>
        </w:rPr>
      </w:pPr>
      <w:r>
        <w:rPr>
          <w:rFonts w:ascii="Calibri" w:hAnsi="Calibri"/>
          <w:sz w:val="24"/>
          <w:szCs w:val="24"/>
          <w:rtl w:val="0"/>
          <w:lang w:val="en-US"/>
        </w:rPr>
        <w:t>Please note that you are not required to use KY Advanced Surgical Surgery Center and you have the option to use an alternative health care facility if desired. Furthermore, no changes in treatment will be implemented by your physician in the event that you choose to obtain services through another health care facility.</w:t>
      </w:r>
    </w:p>
    <w:p>
      <w:pPr>
        <w:pStyle w:val="Body"/>
        <w:spacing w:line="240" w:lineRule="auto"/>
        <w:jc w:val="both"/>
        <w:rPr>
          <w:rFonts w:ascii="Calibri" w:cs="Calibri" w:hAnsi="Calibri" w:eastAsia="Calibri"/>
          <w:sz w:val="24"/>
          <w:szCs w:val="24"/>
        </w:rPr>
      </w:pPr>
    </w:p>
    <w:p>
      <w:pPr>
        <w:pStyle w:val="Body"/>
        <w:spacing w:line="240" w:lineRule="auto"/>
        <w:jc w:val="both"/>
        <w:rPr>
          <w:rFonts w:ascii="Calibri" w:cs="Calibri" w:hAnsi="Calibri" w:eastAsia="Calibri"/>
          <w:sz w:val="24"/>
          <w:szCs w:val="24"/>
        </w:rPr>
      </w:pPr>
      <w:r>
        <w:rPr>
          <w:rFonts w:ascii="Calibri" w:hAnsi="Calibri"/>
          <w:sz w:val="24"/>
          <w:szCs w:val="24"/>
          <w:rtl w:val="0"/>
          <w:lang w:val="en-US"/>
        </w:rPr>
        <w:t xml:space="preserve">All physicians and Allied Healthcare professionals providing services in this facility hold current medical licenses with the California State Medical board, have been credentialed for medical staff privileges in the facility and carry MalPractice Insurance. </w:t>
      </w:r>
    </w:p>
    <w:p>
      <w:pPr>
        <w:pStyle w:val="Body"/>
        <w:spacing w:line="240" w:lineRule="auto"/>
        <w:jc w:val="both"/>
        <w:rPr>
          <w:rFonts w:ascii="Calibri" w:cs="Calibri" w:hAnsi="Calibri" w:eastAsia="Calibri"/>
          <w:sz w:val="24"/>
          <w:szCs w:val="24"/>
        </w:rPr>
      </w:pPr>
    </w:p>
    <w:p>
      <w:pPr>
        <w:pStyle w:val="Body"/>
        <w:spacing w:after="40" w:line="335" w:lineRule="auto"/>
        <w:jc w:val="both"/>
        <w:rPr>
          <w:rFonts w:ascii="Calibri" w:cs="Calibri" w:hAnsi="Calibri" w:eastAsia="Calibri"/>
          <w:b w:val="1"/>
          <w:bCs w:val="1"/>
          <w:sz w:val="24"/>
          <w:szCs w:val="24"/>
        </w:rPr>
      </w:pPr>
      <w:r>
        <w:rPr>
          <w:rFonts w:ascii="Calibri" w:hAnsi="Calibri"/>
          <w:b w:val="1"/>
          <w:bCs w:val="1"/>
          <w:sz w:val="24"/>
          <w:szCs w:val="24"/>
          <w:rtl w:val="0"/>
          <w:lang w:val="en-US"/>
        </w:rPr>
        <w:t xml:space="preserve">Additional Info: </w:t>
      </w:r>
    </w:p>
    <w:p>
      <w:pPr>
        <w:pStyle w:val="Body"/>
        <w:spacing w:line="335" w:lineRule="auto"/>
        <w:jc w:val="both"/>
        <w:rPr>
          <w:rFonts w:ascii="Calibri" w:cs="Calibri" w:hAnsi="Calibri" w:eastAsia="Calibri"/>
          <w:sz w:val="24"/>
          <w:szCs w:val="24"/>
        </w:rPr>
      </w:pPr>
      <w:r>
        <w:rPr>
          <w:rFonts w:ascii="Calibri" w:hAnsi="Calibri"/>
          <w:sz w:val="24"/>
          <w:szCs w:val="24"/>
          <w:rtl w:val="0"/>
          <w:lang w:val="en-US"/>
        </w:rPr>
        <w:t>Dr. Paul Kuy-Seang Ky, owner of Ky Advanced Surgical Center, Inc., also owns Advanced Pain Associates of California</w:t>
      </w:r>
    </w:p>
    <w:p>
      <w:pPr>
        <w:pStyle w:val="Body"/>
        <w:spacing w:line="240" w:lineRule="auto"/>
        <w:rPr>
          <w:rFonts w:ascii="Calibri" w:cs="Calibri" w:hAnsi="Calibri" w:eastAsia="Calibri"/>
          <w:sz w:val="24"/>
          <w:szCs w:val="24"/>
        </w:rPr>
      </w:pPr>
    </w:p>
    <w:p>
      <w:pPr>
        <w:pStyle w:val="Body"/>
        <w:spacing w:line="240" w:lineRule="auto"/>
      </w:pPr>
      <w:r>
        <w:rPr>
          <w:rFonts w:ascii="Calibri" w:hAnsi="Calibri"/>
          <w:sz w:val="24"/>
          <w:szCs w:val="24"/>
          <w:rtl w:val="0"/>
          <w:lang w:val="en-US"/>
        </w:rPr>
        <w:t>Please reach out to our business office for detailed service information: (559) 221-9905</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spacing w:line="240" w:lineRule="auto"/>
      <w:jc w:val="center"/>
    </w:pPr>
    <w:r>
      <w:rPr>
        <w:rFonts w:ascii="Calibri" w:hAnsi="Calibri"/>
        <w:sz w:val="24"/>
        <w:szCs w:val="24"/>
      </w:rPr>
      <w:drawing xmlns:a="http://schemas.openxmlformats.org/drawingml/2006/main">
        <wp:inline distT="0" distB="0" distL="0" distR="0">
          <wp:extent cx="4043672" cy="1604963"/>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4043672" cy="1604963"/>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